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7A9C" w:rsidRPr="00F47D74" w:rsidRDefault="00AE7A9C" w:rsidP="00AE7A9C">
      <w:pPr>
        <w:ind w:left="5041"/>
        <w:contextualSpacing/>
        <w:rPr>
          <w:rFonts w:ascii="Liberation Serif" w:eastAsiaTheme="minorHAnsi" w:hAnsi="Liberation Serif" w:cs="Times New Roman"/>
          <w:szCs w:val="22"/>
          <w:lang w:eastAsia="en-US"/>
        </w:rPr>
      </w:pPr>
      <w:r w:rsidRPr="00F47D74">
        <w:rPr>
          <w:rFonts w:ascii="Liberation Serif" w:eastAsiaTheme="minorHAnsi" w:hAnsi="Liberation Serif" w:cs="Times New Roman"/>
          <w:szCs w:val="22"/>
          <w:lang w:eastAsia="en-US"/>
        </w:rPr>
        <w:t xml:space="preserve">Приложение № </w:t>
      </w:r>
      <w:r>
        <w:rPr>
          <w:rFonts w:ascii="Liberation Serif" w:eastAsiaTheme="minorHAnsi" w:hAnsi="Liberation Serif" w:cs="Times New Roman"/>
          <w:szCs w:val="22"/>
          <w:lang w:eastAsia="en-US"/>
        </w:rPr>
        <w:t>1</w:t>
      </w:r>
    </w:p>
    <w:p w:rsidR="00AE7A9C" w:rsidRPr="00F47D74" w:rsidRDefault="00AE7A9C" w:rsidP="00AE7A9C">
      <w:pPr>
        <w:ind w:left="5041"/>
        <w:contextualSpacing/>
        <w:rPr>
          <w:rFonts w:ascii="Liberation Serif" w:eastAsiaTheme="minorHAnsi" w:hAnsi="Liberation Serif" w:cs="Times New Roman"/>
          <w:szCs w:val="22"/>
          <w:lang w:eastAsia="en-US"/>
        </w:rPr>
      </w:pPr>
      <w:r w:rsidRPr="00F47D74">
        <w:rPr>
          <w:rFonts w:ascii="Liberation Serif" w:eastAsiaTheme="minorHAnsi" w:hAnsi="Liberation Serif" w:cs="Times New Roman"/>
          <w:szCs w:val="22"/>
          <w:lang w:eastAsia="en-US"/>
        </w:rPr>
        <w:t xml:space="preserve">к постановлению Администрации Арамильского городского округа  </w:t>
      </w:r>
    </w:p>
    <w:p w:rsidR="00AE7A9C" w:rsidRPr="00F47D74" w:rsidRDefault="00AE7A9C" w:rsidP="00AE7A9C">
      <w:pPr>
        <w:ind w:left="5041"/>
        <w:contextualSpacing/>
        <w:rPr>
          <w:rFonts w:ascii="Liberation Serif" w:eastAsiaTheme="minorHAnsi" w:hAnsi="Liberation Serif" w:cs="Times New Roman"/>
          <w:szCs w:val="22"/>
          <w:lang w:eastAsia="en-US"/>
        </w:rPr>
      </w:pPr>
      <w:r w:rsidRPr="00F47D74">
        <w:rPr>
          <w:rFonts w:ascii="Liberation Serif" w:eastAsiaTheme="minorHAnsi" w:hAnsi="Liberation Serif" w:cs="Times New Roman"/>
          <w:szCs w:val="22"/>
          <w:lang w:eastAsia="en-US"/>
        </w:rPr>
        <w:t>от____ №_____</w:t>
      </w:r>
    </w:p>
    <w:p w:rsidR="00AE7A9C" w:rsidRPr="00F47D74" w:rsidRDefault="00AE7A9C" w:rsidP="00AE7A9C">
      <w:pPr>
        <w:ind w:left="5041"/>
        <w:contextualSpacing/>
        <w:rPr>
          <w:rFonts w:ascii="Liberation Serif" w:eastAsiaTheme="minorHAnsi" w:hAnsi="Liberation Serif" w:cs="Times New Roman"/>
          <w:szCs w:val="22"/>
          <w:lang w:eastAsia="en-US"/>
        </w:rPr>
      </w:pPr>
    </w:p>
    <w:p w:rsidR="00AE7A9C" w:rsidRDefault="00AE7A9C" w:rsidP="00AE7A9C">
      <w:pPr>
        <w:ind w:left="5041"/>
        <w:rPr>
          <w:rFonts w:ascii="Liberation Serif" w:eastAsiaTheme="minorHAnsi" w:hAnsi="Liberation Serif" w:cs="Times New Roman"/>
          <w:szCs w:val="22"/>
          <w:lang w:eastAsia="en-US"/>
        </w:rPr>
      </w:pPr>
      <w:r w:rsidRPr="00F47D74">
        <w:rPr>
          <w:rFonts w:ascii="Liberation Serif" w:eastAsiaTheme="minorHAnsi" w:hAnsi="Liberation Serif" w:cs="Times New Roman"/>
          <w:szCs w:val="22"/>
          <w:lang w:eastAsia="en-US"/>
        </w:rPr>
        <w:t xml:space="preserve">Приложение № </w:t>
      </w:r>
      <w:r>
        <w:rPr>
          <w:rFonts w:ascii="Liberation Serif" w:eastAsiaTheme="minorHAnsi" w:hAnsi="Liberation Serif" w:cs="Times New Roman"/>
          <w:szCs w:val="22"/>
          <w:lang w:eastAsia="en-US"/>
        </w:rPr>
        <w:t>1</w:t>
      </w:r>
      <w:r w:rsidRPr="00F47D74">
        <w:rPr>
          <w:rFonts w:ascii="Liberation Serif" w:eastAsiaTheme="minorHAnsi" w:hAnsi="Liberation Serif" w:cs="Times New Roman"/>
          <w:szCs w:val="22"/>
          <w:lang w:eastAsia="en-US"/>
        </w:rPr>
        <w:t xml:space="preserve"> к муниципально</w:t>
      </w:r>
      <w:r w:rsidR="000B2DA6">
        <w:rPr>
          <w:rFonts w:ascii="Liberation Serif" w:eastAsiaTheme="minorHAnsi" w:hAnsi="Liberation Serif" w:cs="Times New Roman"/>
          <w:szCs w:val="22"/>
          <w:lang w:eastAsia="en-US"/>
        </w:rPr>
        <w:t xml:space="preserve">й программе </w:t>
      </w:r>
      <w:r w:rsidR="000B2DA6" w:rsidRPr="000B2DA6">
        <w:rPr>
          <w:rFonts w:ascii="Liberation Serif" w:eastAsiaTheme="minorHAnsi" w:hAnsi="Liberation Serif" w:cs="Times New Roman"/>
          <w:szCs w:val="22"/>
          <w:lang w:eastAsia="en-US"/>
        </w:rPr>
        <w:t>«Развитие культуры, искусства, туризма и гостеприимства в Арамильском городском округе до 2028 года»</w:t>
      </w:r>
      <w:bookmarkStart w:id="0" w:name="_GoBack"/>
      <w:bookmarkEnd w:id="0"/>
    </w:p>
    <w:p w:rsidR="00D55C76" w:rsidRDefault="00D55C76">
      <w:pPr>
        <w:spacing w:line="150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8790"/>
      </w:tblGrid>
      <w:tr w:rsidR="00D55C76" w:rsidRPr="007C2DA4">
        <w:trPr>
          <w:trHeight w:val="375"/>
        </w:trPr>
        <w:tc>
          <w:tcPr>
            <w:tcW w:w="285" w:type="dxa"/>
          </w:tcPr>
          <w:p w:rsidR="00D55C76" w:rsidRPr="007C2DA4" w:rsidRDefault="00D55C76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AE7A9C" w:rsidRPr="007C2DA4" w:rsidRDefault="00AE7A9C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D55C76" w:rsidRPr="007C2DA4" w:rsidRDefault="004F3EC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D55C76" w:rsidRPr="007C2DA4">
        <w:trPr>
          <w:trHeight w:val="375"/>
        </w:trPr>
        <w:tc>
          <w:tcPr>
            <w:tcW w:w="285" w:type="dxa"/>
          </w:tcPr>
          <w:p w:rsidR="00D55C76" w:rsidRPr="007C2DA4" w:rsidRDefault="00D55C76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D55C76" w:rsidRPr="007C2DA4" w:rsidRDefault="004F3EC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0"/>
                <w:rFonts w:ascii="Liberation Serif" w:eastAsia="Calibri" w:hAnsi="Liberation Serif" w:cs="Liberation Serif"/>
              </w:rPr>
              <w:t>муниципальной программы</w:t>
            </w:r>
          </w:p>
        </w:tc>
      </w:tr>
      <w:tr w:rsidR="00D55C76" w:rsidRPr="007C2DA4">
        <w:trPr>
          <w:trHeight w:val="675"/>
        </w:trPr>
        <w:tc>
          <w:tcPr>
            <w:tcW w:w="285" w:type="dxa"/>
          </w:tcPr>
          <w:p w:rsidR="00D55C76" w:rsidRPr="007C2DA4" w:rsidRDefault="00D55C76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8790" w:type="dxa"/>
            <w:shd w:val="clear" w:color="auto" w:fill="auto"/>
          </w:tcPr>
          <w:p w:rsidR="00D55C76" w:rsidRPr="007C2DA4" w:rsidRDefault="004F3EC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0"/>
                <w:rFonts w:ascii="Liberation Serif" w:eastAsia="Calibri" w:hAnsi="Liberation Serif" w:cs="Liberation Serif"/>
              </w:rPr>
              <w:t>«Развитие культуры, искусства, туризма и гостеприимства в Арамильском городском округе до 2028 года»</w:t>
            </w:r>
          </w:p>
        </w:tc>
      </w:tr>
    </w:tbl>
    <w:p w:rsidR="00D55C76" w:rsidRPr="007C2DA4" w:rsidRDefault="00D55C76">
      <w:pPr>
        <w:spacing w:line="750" w:lineRule="exact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50"/>
      </w:tblGrid>
      <w:tr w:rsidR="00D55C76" w:rsidRPr="007C2DA4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D55C76" w:rsidRPr="007C2DA4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465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2"/>
                <w:rFonts w:ascii="Liberation Serif" w:eastAsia="Calibri" w:hAnsi="Liberation Serif" w:cs="Liberation Serif"/>
              </w:rPr>
              <w:t>2028 годы</w:t>
            </w:r>
          </w:p>
        </w:tc>
      </w:tr>
      <w:tr w:rsidR="00D55C76" w:rsidRPr="007C2DA4">
        <w:trPr>
          <w:trHeight w:val="16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2"/>
                <w:rFonts w:ascii="Liberation Serif" w:eastAsia="Calibri" w:hAnsi="Liberation Serif" w:cs="Liberation Serif"/>
              </w:rPr>
              <w:t>Цель 1. Духовно-нравственное развитие и реализация человеческого потенциала в условиях перехода к инновационному типу развития общества и экономики Арамильского городского округа</w:t>
            </w:r>
          </w:p>
        </w:tc>
      </w:tr>
      <w:tr w:rsidR="00D55C76" w:rsidRPr="007C2DA4" w:rsidTr="00AE7A9C">
        <w:trPr>
          <w:trHeight w:val="9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1.1. Создание условий для развития творческого потенциала населения Арамильского городского округа</w:t>
            </w:r>
          </w:p>
        </w:tc>
      </w:tr>
      <w:tr w:rsidR="00D55C76" w:rsidRPr="007C2DA4" w:rsidTr="00AE7A9C">
        <w:trPr>
          <w:trHeight w:val="16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1.2. Реализация современных технологий социального продвижения, обеспечение условий для развития инновационной деятельности организаций культуры и искусства</w:t>
            </w:r>
          </w:p>
        </w:tc>
      </w:tr>
      <w:tr w:rsidR="00D55C76" w:rsidRPr="007C2DA4" w:rsidTr="00AE7A9C">
        <w:trPr>
          <w:trHeight w:val="228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1.3. 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</w:t>
            </w:r>
          </w:p>
        </w:tc>
      </w:tr>
      <w:tr w:rsidR="00D55C76" w:rsidRPr="007C2DA4">
        <w:trPr>
          <w:trHeight w:val="9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1.4. Создание условий для сохранения и развития кадрового потенциала сферы культуры и искусства</w:t>
            </w:r>
          </w:p>
        </w:tc>
      </w:tr>
      <w:tr w:rsidR="00D55C76" w:rsidRPr="007C2DA4">
        <w:trPr>
          <w:trHeight w:val="10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1.5. Совершенствование подготовки выпускников образовательных организаций в сфере культуры и искусства</w:t>
            </w:r>
          </w:p>
        </w:tc>
      </w:tr>
      <w:tr w:rsidR="00D55C76" w:rsidRPr="007C2DA4">
        <w:trPr>
          <w:trHeight w:val="10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1.6. Совершенствование организационных, экономических и правовых механизмов развития культуры</w:t>
            </w:r>
          </w:p>
        </w:tc>
      </w:tr>
      <w:tr w:rsidR="00D55C76" w:rsidRPr="007C2DA4">
        <w:trPr>
          <w:trHeight w:val="9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Цель 2. Создание условий для устойчивого развития туризма в Арамильском городском округе</w:t>
            </w:r>
          </w:p>
        </w:tc>
      </w:tr>
      <w:tr w:rsidR="00D55C76" w:rsidRPr="007C2DA4">
        <w:trPr>
          <w:trHeight w:val="13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2.1. Создание и продвижение туристского продукта Арамильского городского округа на рынке туристических услуг</w:t>
            </w:r>
          </w:p>
        </w:tc>
      </w:tr>
      <w:tr w:rsidR="00D55C76" w:rsidRPr="007C2DA4">
        <w:trPr>
          <w:trHeight w:val="9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2.2. Повышение качества туристских и сопутствующих услуг, оказываемых на территории Арамильского городского округа</w:t>
            </w:r>
          </w:p>
        </w:tc>
      </w:tr>
      <w:tr w:rsidR="00D55C76" w:rsidRPr="007C2DA4">
        <w:trPr>
          <w:trHeight w:val="10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Цель 3. Выработка единого подхода в развитии кадровой политики в сфере культуры, спорта и молодёжной политики.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Задача 3.1. Достижение показателей</w:t>
            </w:r>
          </w:p>
        </w:tc>
      </w:tr>
      <w:tr w:rsidR="00D55C76" w:rsidRPr="007C2DA4" w:rsidTr="007C2DA4">
        <w:trPr>
          <w:trHeight w:val="368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"/>
                <w:rFonts w:ascii="Liberation Serif" w:eastAsia="Calibri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7C2DA4">
              <w:rPr>
                <w:rStyle w:val="CharacterStyle2"/>
                <w:rFonts w:ascii="Liberation Serif" w:eastAsia="Calibri" w:hAnsi="Liberation Serif" w:cs="Liberation Serif"/>
              </w:rPr>
              <w:t>1. «Развитие культуры и искусства»</w:t>
            </w:r>
          </w:p>
        </w:tc>
      </w:tr>
      <w:tr w:rsidR="00D55C76" w:rsidRPr="007C2DA4">
        <w:trPr>
          <w:trHeight w:val="67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ind w:left="0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2. «Развитие туризма и индустрии гостеприимства»</w:t>
            </w:r>
          </w:p>
        </w:tc>
      </w:tr>
      <w:tr w:rsidR="00D55C76" w:rsidRPr="007C2DA4" w:rsidTr="00AE7A9C">
        <w:trPr>
          <w:trHeight w:val="13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3. Обеспечение реализации муниципальной программы "Развитие культуры, искусства, туризма и гостеприимства в Арамильском городском округе до 2028 года"</w:t>
            </w:r>
          </w:p>
        </w:tc>
      </w:tr>
      <w:tr w:rsidR="00AE7A9C" w:rsidRPr="007C2DA4" w:rsidTr="00AE7A9C">
        <w:trPr>
          <w:trHeight w:val="699"/>
        </w:trPr>
        <w:tc>
          <w:tcPr>
            <w:tcW w:w="285" w:type="dxa"/>
          </w:tcPr>
          <w:p w:rsidR="00AE7A9C" w:rsidRPr="007C2DA4" w:rsidRDefault="00AE7A9C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7A9C" w:rsidRPr="007C2DA4" w:rsidRDefault="00AE7A9C" w:rsidP="007C2DA4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7"/>
                <w:rFonts w:ascii="Liberation Serif" w:eastAsia="Calibri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AE7A9C" w:rsidRPr="007C2DA4" w:rsidRDefault="007C2DA4" w:rsidP="007C2DA4">
            <w:pPr>
              <w:pStyle w:val="ParagraphStyle8"/>
              <w:jc w:val="left"/>
              <w:rPr>
                <w:rStyle w:val="CharacterStyle8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8"/>
                <w:rFonts w:ascii="Liberation Serif" w:eastAsia="Calibri" w:hAnsi="Liberation Serif" w:cs="Liberation Serif"/>
              </w:rPr>
              <w:t>1. Число посещений культурных </w:t>
            </w:r>
            <w:r w:rsidR="00AE7A9C" w:rsidRPr="007C2DA4">
              <w:rPr>
                <w:rStyle w:val="CharacterStyle8"/>
                <w:rFonts w:ascii="Liberation Serif" w:eastAsia="Calibri" w:hAnsi="Liberation Serif" w:cs="Liberation Serif"/>
              </w:rPr>
              <w:t>мероприятий</w:t>
            </w:r>
          </w:p>
        </w:tc>
      </w:tr>
      <w:tr w:rsidR="00AE7A9C" w:rsidRPr="007C2DA4" w:rsidTr="00AE7A9C">
        <w:trPr>
          <w:trHeight w:val="1698"/>
        </w:trPr>
        <w:tc>
          <w:tcPr>
            <w:tcW w:w="285" w:type="dxa"/>
          </w:tcPr>
          <w:p w:rsidR="00AE7A9C" w:rsidRPr="007C2DA4" w:rsidRDefault="00AE7A9C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7A9C" w:rsidRPr="007C2DA4" w:rsidRDefault="00AE7A9C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E7A9C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2. </w:t>
            </w:r>
            <w:r w:rsidR="00AE7A9C" w:rsidRPr="007C2DA4">
              <w:rPr>
                <w:rStyle w:val="CharacterStyle10"/>
                <w:rFonts w:ascii="Liberation Serif" w:eastAsia="Calibri" w:hAnsi="Liberation Serif" w:cs="Liberation Serif"/>
              </w:rPr>
              <w:t>Удельны</w:t>
            </w: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й вес населения, участвующего в платных </w:t>
            </w:r>
            <w:r w:rsidR="00AE7A9C" w:rsidRPr="007C2DA4">
              <w:rPr>
                <w:rStyle w:val="CharacterStyle10"/>
                <w:rFonts w:ascii="Liberation Serif" w:eastAsia="Calibri" w:hAnsi="Liberation Serif" w:cs="Liberation Serif"/>
              </w:rPr>
              <w:t>ку</w:t>
            </w: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льтурно-   досуговых мероприятиях, проводимых </w:t>
            </w:r>
            <w:r w:rsidR="00AE7A9C" w:rsidRPr="007C2DA4">
              <w:rPr>
                <w:rStyle w:val="CharacterStyle10"/>
                <w:rFonts w:ascii="Liberation Serif" w:eastAsia="Calibri" w:hAnsi="Liberation Serif" w:cs="Liberation Serif"/>
              </w:rPr>
              <w:t>муниципальными учреждениями культуры, от общей численности населения</w:t>
            </w:r>
          </w:p>
        </w:tc>
      </w:tr>
      <w:tr w:rsidR="00AE7A9C" w:rsidRPr="007C2DA4">
        <w:trPr>
          <w:trHeight w:val="690"/>
        </w:trPr>
        <w:tc>
          <w:tcPr>
            <w:tcW w:w="285" w:type="dxa"/>
          </w:tcPr>
          <w:p w:rsidR="00AE7A9C" w:rsidRPr="007C2DA4" w:rsidRDefault="00AE7A9C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E7A9C" w:rsidRPr="007C2DA4" w:rsidRDefault="00AE7A9C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AE7A9C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3. </w:t>
            </w:r>
            <w:r w:rsidR="00AE7A9C" w:rsidRPr="007C2DA4">
              <w:rPr>
                <w:rStyle w:val="CharacterStyle10"/>
                <w:rFonts w:ascii="Liberation Serif" w:eastAsia="Calibri" w:hAnsi="Liberation Serif" w:cs="Liberation Serif"/>
              </w:rPr>
              <w:t>Посещаемость населением организаций культуры и искусства</w:t>
            </w:r>
          </w:p>
        </w:tc>
      </w:tr>
      <w:tr w:rsidR="00D55C76" w:rsidRPr="007C2DA4">
        <w:trPr>
          <w:trHeight w:val="13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4. 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Доля сельских</w:t>
            </w: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 xml:space="preserve"> населенных пунктов, охваченных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культурно-досуговыми</w:t>
            </w: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 услугами, от общего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числа сельских населенных пунктов</w:t>
            </w:r>
          </w:p>
        </w:tc>
      </w:tr>
      <w:tr w:rsidR="00D55C76" w:rsidRPr="007C2DA4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5. Доля детей, посещающих культурно-досуговые учреждения и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творческие кружки на постоянной основе, от общего числа детей в возрасте до 18 лет</w:t>
            </w:r>
          </w:p>
        </w:tc>
      </w:tr>
      <w:tr w:rsidR="00D55C76" w:rsidRPr="007C2DA4">
        <w:trPr>
          <w:trHeight w:val="13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6. Количество экземпляров новых поступлений в фонды муниципальных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библиотек Арамильского городского округа в расчете на 1000 жителей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7. Посещаемость населением киносеансов</w:t>
            </w:r>
          </w:p>
        </w:tc>
      </w:tr>
      <w:tr w:rsidR="00D55C76" w:rsidRPr="007C2DA4" w:rsidTr="00AE7A9C">
        <w:trPr>
          <w:trHeight w:val="101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8. Доля фильмов российского производства в общем объеме проката на территории Арамильского городского округа</w:t>
            </w:r>
          </w:p>
        </w:tc>
      </w:tr>
      <w:tr w:rsidR="00D55C76" w:rsidRPr="007C2DA4" w:rsidTr="00AE7A9C">
        <w:trPr>
          <w:trHeight w:val="987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AE7A9C" w:rsidP="007C2DA4">
            <w:pPr>
              <w:pStyle w:val="ParagraphStyle10"/>
              <w:tabs>
                <w:tab w:val="left" w:pos="571"/>
              </w:tabs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9. Количество созданных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(реконструированных) и капитально отремонтированных объектов организаций культуры</w:t>
            </w:r>
          </w:p>
        </w:tc>
      </w:tr>
      <w:tr w:rsidR="00D55C76" w:rsidRPr="007C2DA4" w:rsidTr="00AE7A9C">
        <w:trPr>
          <w:trHeight w:val="934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10. Количество муниципальных библиотек, переоснащенных по модельному стандарту (нарастающим итогом)</w:t>
            </w:r>
          </w:p>
        </w:tc>
      </w:tr>
      <w:tr w:rsidR="00D55C76" w:rsidRPr="007C2DA4" w:rsidTr="00AE7A9C">
        <w:trPr>
          <w:trHeight w:val="67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11. Количество передвижных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выставок (ежегодно)</w:t>
            </w:r>
          </w:p>
        </w:tc>
      </w:tr>
      <w:tr w:rsidR="00D55C76" w:rsidRPr="007C2DA4" w:rsidTr="00AE7A9C">
        <w:trPr>
          <w:trHeight w:val="13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12. Доля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мун</w:t>
            </w: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иципальных </w:t>
            </w:r>
            <w:r w:rsidR="00AE7A9C" w:rsidRPr="007C2DA4">
              <w:rPr>
                <w:rStyle w:val="CharacterStyle10"/>
                <w:rFonts w:ascii="Liberation Serif" w:eastAsia="Calibri" w:hAnsi="Liberation Serif" w:cs="Liberation Serif"/>
              </w:rPr>
              <w:t>учреждений культуры, находящихся в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удовлетворительном состоянии, в общем количестве таких учреждений</w:t>
            </w:r>
          </w:p>
        </w:tc>
      </w:tr>
      <w:tr w:rsidR="00D55C76" w:rsidRPr="007C2DA4" w:rsidTr="00AE7A9C">
        <w:trPr>
          <w:trHeight w:val="6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13. 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Доля музеев, имеющих веб-сайт в сети Интернет, в общем количестве музеев</w:t>
            </w:r>
          </w:p>
        </w:tc>
      </w:tr>
      <w:tr w:rsidR="00D55C76" w:rsidRPr="007C2DA4" w:rsidTr="00AE7A9C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14. 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Доля музеев, в которых используются информационные системы учета и ведения каталогов в электронном виде, в общем количестве музеев</w:t>
            </w:r>
          </w:p>
        </w:tc>
      </w:tr>
      <w:tr w:rsidR="00D55C76" w:rsidRPr="007C2DA4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7C2DA4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15. Доля предметов основного фонда муниципального музея, отраженных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в электронных каталогах</w:t>
            </w:r>
          </w:p>
        </w:tc>
      </w:tr>
      <w:tr w:rsidR="00D55C76" w:rsidRPr="007C2DA4">
        <w:trPr>
          <w:trHeight w:val="199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16. Доля центральных муниципальных библиотек, имеющих веб-сайты в сети Интернет, через которые обеспечен доступ к имеющимся у них электронным фондам и электронным каталогам, от общего количества этих библиотек</w:t>
            </w:r>
          </w:p>
        </w:tc>
      </w:tr>
      <w:tr w:rsidR="00D55C76" w:rsidRPr="007C2DA4">
        <w:trPr>
          <w:trHeight w:val="232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17. Доля общедоступных муниципальных библиотек, обеспечивающих доступ пользователей к электронным ресурсам сети Интернет, от количества общедоступных библиотек, имеющих техническую возможность для подключения к сети Интернет</w:t>
            </w:r>
          </w:p>
        </w:tc>
      </w:tr>
      <w:tr w:rsidR="00D55C76" w:rsidRPr="007C2DA4">
        <w:trPr>
          <w:trHeight w:val="6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18. Доступность для населения услуг Национальной электронной библиотеки</w:t>
            </w:r>
          </w:p>
        </w:tc>
      </w:tr>
      <w:tr w:rsidR="00D55C76" w:rsidRPr="007C2DA4">
        <w:trPr>
          <w:trHeight w:val="67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19. Количество созданных виртуальных концертных залов (нарастающим итогом)</w:t>
            </w:r>
          </w:p>
        </w:tc>
      </w:tr>
      <w:tr w:rsidR="00D55C76" w:rsidRPr="007C2DA4">
        <w:trPr>
          <w:trHeight w:val="6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20. Количество посетителей концертов виртуального концертного зала</w:t>
            </w:r>
          </w:p>
        </w:tc>
      </w:tr>
      <w:tr w:rsidR="00D55C76" w:rsidRPr="007C2DA4">
        <w:trPr>
          <w:trHeight w:val="6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21. Количество обращений к порталу "Культуры Урала.РФ"</w:t>
            </w:r>
          </w:p>
        </w:tc>
      </w:tr>
      <w:tr w:rsidR="00D55C76" w:rsidRPr="007C2DA4" w:rsidTr="00AE7A9C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22. Численность участников мероприятий, направленных на этнокультурное развитие народов Российской Федерации и поддержку языкового многообразия</w:t>
            </w:r>
          </w:p>
        </w:tc>
      </w:tr>
      <w:tr w:rsidR="00D55C76" w:rsidRPr="007C2DA4">
        <w:trPr>
          <w:trHeight w:val="13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23. Соотношение средней заработной платы работников учреждений культуры к средней заработной плате по экономике Свердловской области</w:t>
            </w:r>
          </w:p>
        </w:tc>
      </w:tr>
      <w:tr w:rsidR="00D55C76" w:rsidRPr="007C2DA4" w:rsidTr="00AE7A9C">
        <w:trPr>
          <w:trHeight w:val="10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24. Количество специалистов, прошедших повышение квалификации на базе Центров непрерывного образования</w:t>
            </w:r>
          </w:p>
        </w:tc>
      </w:tr>
      <w:tr w:rsidR="00D55C76" w:rsidRPr="007C2DA4" w:rsidTr="00AE7A9C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25. Количество волонтеров Арамильского городского округа, вовлеченных в программу "Волонтеры культуры"</w:t>
            </w:r>
          </w:p>
        </w:tc>
      </w:tr>
      <w:tr w:rsidR="00D55C76" w:rsidRPr="007C2DA4">
        <w:trPr>
          <w:trHeight w:val="69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26. Количество обучающихся в детской школе искусств</w:t>
            </w:r>
          </w:p>
        </w:tc>
      </w:tr>
      <w:tr w:rsidR="00D55C76" w:rsidRPr="007C2DA4">
        <w:trPr>
          <w:trHeight w:val="199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27. Доля выпускников детской школы искусств, поступивших на обучение в профессиональные образовательные организации (учреждения) в сфере культуры и искусства, от общего числа выпускников</w:t>
            </w:r>
          </w:p>
        </w:tc>
      </w:tr>
      <w:tr w:rsidR="00D55C76" w:rsidRPr="007C2DA4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28. Доля детей, привлекаемых к участию в творческих мероприятиях, в общем числе детей (ежегодно)</w:t>
            </w:r>
          </w:p>
        </w:tc>
      </w:tr>
      <w:tr w:rsidR="00D55C76" w:rsidRPr="007C2DA4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29. Уровень удовлетворенности населения качеством и доступностью оказываемых населению муниципальных услуг в сфере культуры</w:t>
            </w:r>
          </w:p>
        </w:tc>
      </w:tr>
      <w:tr w:rsidR="00D55C76" w:rsidRPr="007C2DA4">
        <w:trPr>
          <w:trHeight w:val="166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 xml:space="preserve">30. </w:t>
            </w:r>
            <w:proofErr w:type="gramStart"/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Количество посещений с целью получения туристско-информационных услуг в стационарных условиях и вне стационара (туристские выставки, конференции, форумы</w:t>
            </w:r>
            <w:proofErr w:type="gramEnd"/>
          </w:p>
        </w:tc>
      </w:tr>
      <w:tr w:rsidR="00D55C76" w:rsidRPr="007C2DA4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31. Количество разработанных туристских программ для отдельных категорий граждан (детские, молодежные и тд.)</w:t>
            </w:r>
          </w:p>
        </w:tc>
      </w:tr>
      <w:tr w:rsidR="00D55C76" w:rsidRPr="007C2DA4">
        <w:trPr>
          <w:trHeight w:val="100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32. Количество событийных мероприятий, получивших государственную поддержку и продвижение</w:t>
            </w:r>
          </w:p>
        </w:tc>
      </w:tr>
      <w:tr w:rsidR="00D55C76" w:rsidRPr="007C2DA4" w:rsidTr="00AE7A9C">
        <w:trPr>
          <w:trHeight w:val="102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33. Количество туристско-рекреационных кластеров на территории Арамильского городского округа (нарастающим итогом)</w:t>
            </w:r>
          </w:p>
        </w:tc>
      </w:tr>
      <w:tr w:rsidR="00D55C76" w:rsidRPr="007C2DA4" w:rsidTr="00AE7A9C">
        <w:trPr>
          <w:trHeight w:val="199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34. Количество инвестиционных проектов, поддержанных путем софинансирования строительства (реконструкции) объектов обеспечивающей инфраструктуры с длительным сроком окупаемости (нарастающим итогом)</w:t>
            </w:r>
          </w:p>
        </w:tc>
      </w:tr>
      <w:tr w:rsidR="00D55C76" w:rsidRPr="007C2DA4" w:rsidTr="00AE7A9C">
        <w:trPr>
          <w:trHeight w:val="133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AE7A9C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35. Количество поданых </w:t>
            </w:r>
            <w:r w:rsidR="004F3EC5" w:rsidRPr="007C2DA4">
              <w:rPr>
                <w:rStyle w:val="CharacterStyle10"/>
                <w:rFonts w:ascii="Liberation Serif" w:eastAsia="Calibri" w:hAnsi="Liberation Serif" w:cs="Liberation Serif"/>
              </w:rPr>
              <w:t>заявок Арамильского городского округа о поддержке программы по проектированию туристского кода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"/>
                <w:rFonts w:ascii="Liberation Serif" w:eastAsia="Calibri" w:hAnsi="Liberation Serif" w:cs="Liberation Serif"/>
              </w:rPr>
              <w:t>Обьем финансирования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2"/>
                <w:rFonts w:ascii="Liberation Serif" w:eastAsia="Calibri" w:hAnsi="Liberation Serif" w:cs="Liberation Serif"/>
              </w:rPr>
              <w:t>ВСЕГО: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6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610 902,6 тыс. рублей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6"/>
                <w:rFonts w:ascii="Liberation Serif" w:eastAsia="Calibri" w:hAnsi="Liberation Serif" w:cs="Liberation Serif"/>
              </w:rPr>
              <w:t>программы по годам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D55C76" w:rsidRPr="007C2DA4">
        <w:trPr>
          <w:trHeight w:val="165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6"/>
                <w:rFonts w:ascii="Liberation Serif" w:eastAsia="Calibri" w:hAnsi="Liberation Serif" w:cs="Liberation Serif"/>
              </w:rPr>
              <w:t>реализации, тыс. рублей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proofErr w:type="gramStart"/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 xml:space="preserve">2024 год - 114 242,3 тыс. рублей, </w:t>
            </w: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2025 год - 190 734,3 тыс. рублей, </w:t>
            </w: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2026 год - 215 247,0 тыс. рублей, </w:t>
            </w: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br/>
              <w:t xml:space="preserve">2027 год - 90 679,0 тыс. рублей, </w:t>
            </w: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br/>
              <w:t>2028 год - 0,0 тыс. рублей</w:t>
            </w:r>
            <w:proofErr w:type="gramEnd"/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5"/>
                <w:rFonts w:ascii="Liberation Serif" w:eastAsia="Calibri" w:hAnsi="Liberation Serif" w:cs="Liberation Serif"/>
              </w:rPr>
              <w:t>из них: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областной бюджет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613,0 тыс. рублей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D55C76" w:rsidRPr="007C2DA4">
        <w:trPr>
          <w:trHeight w:val="166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proofErr w:type="gramStart"/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- 130,0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- 483,0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  <w:proofErr w:type="gramEnd"/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федеральный бюджет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3 447,0 тыс. рублей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D55C76" w:rsidRPr="007C2DA4">
        <w:trPr>
          <w:trHeight w:val="166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proofErr w:type="gramStart"/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- 80,0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- 3 367,0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  <w:proofErr w:type="gramEnd"/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местный бюджет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606 842,6 тыс. рублей</w:t>
            </w:r>
          </w:p>
        </w:tc>
      </w:tr>
      <w:tr w:rsidR="00D55C76" w:rsidRPr="007C2DA4" w:rsidTr="00AE7A9C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D55C76" w:rsidRPr="007C2DA4">
        <w:trPr>
          <w:trHeight w:val="1665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proofErr w:type="gramStart"/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- 114 032,3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- 186 884,3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- 215 247,0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- 90 679,0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  <w:proofErr w:type="gramEnd"/>
          </w:p>
        </w:tc>
      </w:tr>
      <w:tr w:rsidR="00D55C76" w:rsidRPr="007C2DA4" w:rsidTr="00AE7A9C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0"/>
              <w:jc w:val="left"/>
              <w:rPr>
                <w:rStyle w:val="CharacterStyle10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0"/>
                <w:rFonts w:ascii="Liberation Serif" w:eastAsia="Calibri" w:hAnsi="Liberation Serif" w:cs="Liberation Serif"/>
              </w:rPr>
              <w:t>внебюджетные источники</w:t>
            </w:r>
          </w:p>
        </w:tc>
      </w:tr>
      <w:tr w:rsidR="00D55C76" w:rsidRPr="007C2DA4" w:rsidTr="00AE7A9C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0,0 тыс. рублей</w:t>
            </w:r>
          </w:p>
        </w:tc>
      </w:tr>
      <w:tr w:rsidR="00D55C76" w:rsidRPr="007C2DA4" w:rsidTr="00AE7A9C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>в том числе:</w:t>
            </w:r>
          </w:p>
        </w:tc>
      </w:tr>
      <w:tr w:rsidR="00D55C76" w:rsidRPr="007C2DA4" w:rsidTr="00AE7A9C">
        <w:trPr>
          <w:trHeight w:val="168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9"/>
              <w:rPr>
                <w:rStyle w:val="CharacterStyle9"/>
                <w:rFonts w:ascii="Liberation Serif" w:eastAsia="Calibri" w:hAnsi="Liberation Serif" w:cs="Liberation Serif"/>
              </w:rPr>
            </w:pPr>
          </w:p>
        </w:tc>
        <w:tc>
          <w:tcPr>
            <w:tcW w:w="5535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1"/>
              <w:rPr>
                <w:rStyle w:val="CharacterStyle11"/>
                <w:rFonts w:ascii="Liberation Serif" w:eastAsia="Calibri" w:hAnsi="Liberation Serif" w:cs="Liberation Serif"/>
              </w:rPr>
            </w:pPr>
            <w:proofErr w:type="gramStart"/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t xml:space="preserve">2024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2025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2026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 xml:space="preserve">2027 год - 0,0 тыс. рублей, </w:t>
            </w:r>
            <w:r w:rsidRPr="007C2DA4">
              <w:rPr>
                <w:rStyle w:val="CharacterStyle11"/>
                <w:rFonts w:ascii="Liberation Serif" w:eastAsia="Calibri" w:hAnsi="Liberation Serif" w:cs="Liberation Serif"/>
              </w:rPr>
              <w:br/>
              <w:t>2028 год - 0,0 тыс. рублей</w:t>
            </w:r>
            <w:proofErr w:type="gramEnd"/>
          </w:p>
        </w:tc>
      </w:tr>
      <w:tr w:rsidR="00D55C76" w:rsidRPr="007C2DA4" w:rsidTr="00AE7A9C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7"/>
              <w:rPr>
                <w:rStyle w:val="CharacterStyle7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7"/>
                <w:rFonts w:ascii="Liberation Serif" w:eastAsia="Calibri" w:hAnsi="Liberation Serif" w:cs="Liberation Serif"/>
              </w:rPr>
              <w:t>Адрес размещения</w:t>
            </w:r>
          </w:p>
        </w:tc>
        <w:tc>
          <w:tcPr>
            <w:tcW w:w="553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AE7A9C" w:rsidP="007C2DA4">
            <w:pPr>
              <w:pStyle w:val="ParagraphStyle8"/>
              <w:jc w:val="left"/>
              <w:rPr>
                <w:rStyle w:val="CharacterStyle8"/>
                <w:rFonts w:ascii="Liberation Serif" w:eastAsia="Calibri" w:hAnsi="Liberation Serif" w:cs="Liberation Serif"/>
                <w:lang w:val="en-US"/>
              </w:rPr>
            </w:pPr>
            <w:r w:rsidRPr="007C2DA4">
              <w:rPr>
                <w:rStyle w:val="CharacterStyle8"/>
                <w:rFonts w:ascii="Liberation Serif" w:eastAsia="Calibri" w:hAnsi="Liberation Serif" w:cs="Liberation Serif"/>
                <w:lang w:val="en-US"/>
              </w:rPr>
              <w:t>www.aramilgo.ru</w:t>
            </w: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2"/>
                <w:rFonts w:ascii="Liberation Serif" w:eastAsia="Calibri" w:hAnsi="Liberation Serif" w:cs="Liberation Serif"/>
              </w:rPr>
              <w:t>муниципальной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2"/>
                <w:rFonts w:ascii="Liberation Serif" w:eastAsia="Calibri" w:hAnsi="Liberation Serif" w:cs="Liberation Serif"/>
              </w:rPr>
              <w:t>программы в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2"/>
                <w:rFonts w:ascii="Liberation Serif" w:eastAsia="Calibri" w:hAnsi="Liberation Serif" w:cs="Liberation Serif"/>
              </w:rPr>
              <w:t>информационно-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2"/>
              <w:rPr>
                <w:rStyle w:val="CharacterStyle12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2"/>
                <w:rFonts w:ascii="Liberation Serif" w:eastAsia="Calibri" w:hAnsi="Liberation Serif" w:cs="Liberation Serif"/>
              </w:rPr>
              <w:t>-телекоммуникационной</w:t>
            </w:r>
          </w:p>
        </w:tc>
        <w:tc>
          <w:tcPr>
            <w:tcW w:w="5535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13"/>
              <w:rPr>
                <w:rStyle w:val="CharacterStyle13"/>
                <w:rFonts w:ascii="Liberation Serif" w:eastAsia="Calibri" w:hAnsi="Liberation Serif" w:cs="Liberation Serif"/>
              </w:rPr>
            </w:pPr>
          </w:p>
        </w:tc>
      </w:tr>
      <w:tr w:rsidR="00D55C76" w:rsidRPr="007C2DA4">
        <w:trPr>
          <w:trHeight w:val="360"/>
        </w:trPr>
        <w:tc>
          <w:tcPr>
            <w:tcW w:w="285" w:type="dxa"/>
          </w:tcPr>
          <w:p w:rsidR="00D55C76" w:rsidRPr="007C2DA4" w:rsidRDefault="00D55C76" w:rsidP="007C2DA4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4F3EC5" w:rsidP="007C2DA4">
            <w:pPr>
              <w:pStyle w:val="ParagraphStyle14"/>
              <w:rPr>
                <w:rStyle w:val="CharacterStyle14"/>
                <w:rFonts w:ascii="Liberation Serif" w:eastAsia="Calibri" w:hAnsi="Liberation Serif" w:cs="Liberation Serif"/>
              </w:rPr>
            </w:pPr>
            <w:r w:rsidRPr="007C2DA4">
              <w:rPr>
                <w:rStyle w:val="CharacterStyle14"/>
                <w:rFonts w:ascii="Liberation Serif" w:eastAsia="Calibri" w:hAnsi="Liberation Serif" w:cs="Liberation Serif"/>
              </w:rPr>
              <w:t>сети Интернет</w:t>
            </w:r>
          </w:p>
        </w:tc>
        <w:tc>
          <w:tcPr>
            <w:tcW w:w="5535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55C76" w:rsidRPr="007C2DA4" w:rsidRDefault="00D55C76" w:rsidP="007C2DA4">
            <w:pPr>
              <w:pStyle w:val="ParagraphStyle15"/>
              <w:rPr>
                <w:rStyle w:val="CharacterStyle15"/>
                <w:rFonts w:ascii="Liberation Serif" w:eastAsia="Calibri" w:hAnsi="Liberation Serif" w:cs="Liberation Serif"/>
              </w:rPr>
            </w:pPr>
          </w:p>
        </w:tc>
      </w:tr>
    </w:tbl>
    <w:p w:rsidR="00D55C76" w:rsidRPr="007C2DA4" w:rsidRDefault="00D55C76" w:rsidP="007C2DA4">
      <w:pPr>
        <w:spacing w:line="15" w:lineRule="exact"/>
        <w:rPr>
          <w:rFonts w:ascii="Liberation Serif" w:hAnsi="Liberation Serif" w:cs="Liberation Serif"/>
        </w:rPr>
      </w:pPr>
    </w:p>
    <w:sectPr w:rsidR="00D55C76" w:rsidRPr="007C2DA4">
      <w:headerReference w:type="default" r:id="rId7"/>
      <w:footerReference w:type="default" r:id="rId8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BF3" w:rsidRDefault="00BE5BF3">
      <w:r>
        <w:separator/>
      </w:r>
    </w:p>
  </w:endnote>
  <w:endnote w:type="continuationSeparator" w:id="0">
    <w:p w:rsidR="00BE5BF3" w:rsidRDefault="00BE5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76" w:rsidRDefault="00D55C76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BF3" w:rsidRDefault="00BE5BF3">
      <w:r>
        <w:separator/>
      </w:r>
    </w:p>
  </w:footnote>
  <w:footnote w:type="continuationSeparator" w:id="0">
    <w:p w:rsidR="00BE5BF3" w:rsidRDefault="00BE5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C76" w:rsidRDefault="00D55C76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76"/>
    <w:rsid w:val="000B2DA6"/>
    <w:rsid w:val="00371175"/>
    <w:rsid w:val="00480CDD"/>
    <w:rsid w:val="004F3EC5"/>
    <w:rsid w:val="007C2DA4"/>
    <w:rsid w:val="00AE7A9C"/>
    <w:rsid w:val="00BE5BF3"/>
    <w:rsid w:val="00D5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1156</Words>
  <Characters>6591</Characters>
  <Application>Microsoft Office Word</Application>
  <DocSecurity>0</DocSecurity>
  <Lines>54</Lines>
  <Paragraphs>15</Paragraphs>
  <ScaleCrop>false</ScaleCrop>
  <Company/>
  <LinksUpToDate>false</LinksUpToDate>
  <CharactersWithSpaces>7732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Коленова Светлана Николаевна</dc:creator>
  <cp:lastModifiedBy>Коленова Светлана Николаевна</cp:lastModifiedBy>
  <cp:revision>5</cp:revision>
  <dcterms:created xsi:type="dcterms:W3CDTF">2025-07-17T07:10:00Z</dcterms:created>
  <dcterms:modified xsi:type="dcterms:W3CDTF">2025-07-18T09:18:00Z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